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val="en-US"/>
        </w:rPr>
      </w:pPr>
      <w:r w:rsidRPr="00553F4A">
        <w:rPr>
          <w:rFonts w:cs="Calibri"/>
          <w:b/>
          <w:bCs/>
          <w:szCs w:val="30"/>
          <w:lang w:val="en-US"/>
        </w:rPr>
        <w:t>18</w:t>
      </w:r>
      <w:r w:rsidRPr="00553F4A">
        <w:rPr>
          <w:rFonts w:cs="Calibri"/>
          <w:b/>
          <w:bCs/>
          <w:szCs w:val="30"/>
          <w:vertAlign w:val="superscript"/>
          <w:lang w:val="en-US"/>
        </w:rPr>
        <w:t>th</w:t>
      </w:r>
      <w:r w:rsidRPr="00553F4A">
        <w:rPr>
          <w:rFonts w:cs="Calibri"/>
          <w:b/>
          <w:bCs/>
          <w:szCs w:val="30"/>
          <w:lang w:val="en-US"/>
        </w:rPr>
        <w:t xml:space="preserve"> January 2016</w:t>
      </w: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val="en-US"/>
        </w:rPr>
      </w:pP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val="en-US"/>
        </w:rPr>
      </w:pPr>
      <w:r w:rsidRPr="00553F4A">
        <w:rPr>
          <w:rFonts w:cs="Calibri"/>
          <w:b/>
          <w:bCs/>
          <w:szCs w:val="30"/>
          <w:lang w:val="en-US"/>
        </w:rPr>
        <w:t xml:space="preserve">A Study of Philanthropy: the Charitable Account Books of Lord </w:t>
      </w:r>
      <w:proofErr w:type="spellStart"/>
      <w:r w:rsidRPr="00553F4A">
        <w:rPr>
          <w:rFonts w:cs="Calibri"/>
          <w:b/>
          <w:bCs/>
          <w:szCs w:val="30"/>
          <w:lang w:val="en-US"/>
        </w:rPr>
        <w:t>Overstone</w:t>
      </w:r>
      <w:proofErr w:type="spellEnd"/>
      <w:r w:rsidRPr="00553F4A">
        <w:rPr>
          <w:rFonts w:cs="Calibri"/>
          <w:b/>
          <w:bCs/>
          <w:szCs w:val="30"/>
          <w:lang w:val="en-US"/>
        </w:rPr>
        <w:t>, 1844-1883</w:t>
      </w: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val="en-US"/>
        </w:rPr>
      </w:pP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b/>
          <w:bCs/>
          <w:szCs w:val="30"/>
          <w:lang w:val="en-US"/>
        </w:rPr>
      </w:pPr>
      <w:r w:rsidRPr="00553F4A">
        <w:rPr>
          <w:rFonts w:cs="Calibri"/>
          <w:b/>
          <w:bCs/>
          <w:szCs w:val="30"/>
          <w:lang w:val="en-US"/>
        </w:rPr>
        <w:t>Sarah Flew</w:t>
      </w: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Times New Roman"/>
          <w:b/>
          <w:szCs w:val="32"/>
          <w:lang w:val="en-US"/>
        </w:rPr>
      </w:pPr>
      <w:r w:rsidRPr="00553F4A">
        <w:rPr>
          <w:rFonts w:cs="Calibri"/>
          <w:b/>
          <w:bCs/>
          <w:szCs w:val="30"/>
          <w:lang w:val="en-US"/>
        </w:rPr>
        <w:t>LSE</w:t>
      </w: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alibri"/>
          <w:szCs w:val="30"/>
          <w:lang w:val="en-US"/>
        </w:rPr>
      </w:pPr>
    </w:p>
    <w:p w:rsidR="00553F4A" w:rsidRPr="00553F4A" w:rsidRDefault="00553F4A" w:rsidP="00553F4A">
      <w:pPr>
        <w:widowControl w:val="0"/>
        <w:autoSpaceDE w:val="0"/>
        <w:autoSpaceDN w:val="0"/>
        <w:adjustRightInd w:val="0"/>
        <w:rPr>
          <w:rFonts w:cs="Century Gothic"/>
          <w:szCs w:val="28"/>
          <w:lang w:val="en-US"/>
        </w:rPr>
      </w:pPr>
      <w:r>
        <w:rPr>
          <w:rFonts w:cs="Calibri"/>
          <w:szCs w:val="30"/>
          <w:lang w:val="en-US"/>
        </w:rPr>
        <w:t>Samuel Jones</w:t>
      </w:r>
      <w:r w:rsidRPr="00553F4A">
        <w:rPr>
          <w:rFonts w:cs="Calibri"/>
          <w:szCs w:val="30"/>
          <w:lang w:val="en-US"/>
        </w:rPr>
        <w:t>-</w:t>
      </w:r>
      <w:proofErr w:type="spellStart"/>
      <w:r w:rsidRPr="00553F4A">
        <w:rPr>
          <w:rFonts w:cs="Calibri"/>
          <w:szCs w:val="30"/>
          <w:lang w:val="en-US"/>
        </w:rPr>
        <w:t>Loyd</w:t>
      </w:r>
      <w:proofErr w:type="spellEnd"/>
      <w:r w:rsidRPr="00553F4A">
        <w:rPr>
          <w:rFonts w:cs="Calibri"/>
          <w:szCs w:val="30"/>
          <w:lang w:val="en-US"/>
        </w:rPr>
        <w:t xml:space="preserve">, Lord </w:t>
      </w:r>
      <w:proofErr w:type="spellStart"/>
      <w:r w:rsidRPr="00553F4A">
        <w:rPr>
          <w:rFonts w:cs="Calibri"/>
          <w:szCs w:val="30"/>
          <w:lang w:val="en-US"/>
        </w:rPr>
        <w:t>Overstone</w:t>
      </w:r>
      <w:proofErr w:type="spellEnd"/>
      <w:r w:rsidRPr="00553F4A">
        <w:rPr>
          <w:rFonts w:cs="Calibri"/>
          <w:szCs w:val="30"/>
          <w:lang w:val="en-US"/>
        </w:rPr>
        <w:t xml:space="preserve"> (1796-1883) is an exemplar of nineteenth century philanthropy. He rose from a modest birth, as the son of a Welsh Unitarian minister, to become one of the most influential bankers of the Victorian age. This study of his philanthropy, painstakingly recorded in four decades of charitable account books, give a nuanced picture of both the man himself and the landscape of charitable causes across the mid nineteenth century. In this 40 year period, </w:t>
      </w:r>
      <w:proofErr w:type="spellStart"/>
      <w:r w:rsidRPr="00553F4A">
        <w:rPr>
          <w:rFonts w:cs="Calibri"/>
          <w:szCs w:val="30"/>
          <w:lang w:val="en-US"/>
        </w:rPr>
        <w:t>Overstone’s</w:t>
      </w:r>
      <w:proofErr w:type="spellEnd"/>
      <w:r w:rsidRPr="00553F4A">
        <w:rPr>
          <w:rFonts w:cs="Calibri"/>
          <w:szCs w:val="30"/>
          <w:lang w:val="en-US"/>
        </w:rPr>
        <w:t xml:space="preserve"> over 2,900 charitable donations fall naturally into six domains: donations relating to religious causes (mainly but not exclusively relating to the Church of England); donations relating to welfare and educational causes (particularly relating to those hospitals where he was a committee members); donations relating to art and cultural causes; donations relating to specific geographic localities which he had an attachment; donations relating to domestic and international incidents or crises; and finally donations to individuals (which included staff, family and friends). This analysis highlights the complex nature of philanthropy and attempts to address that elusive concept of “motive”.</w:t>
      </w:r>
    </w:p>
    <w:p w:rsidR="00B62D76" w:rsidRDefault="00553F4A"/>
    <w:sectPr w:rsidR="00B62D76" w:rsidSect="00AD6A9C">
      <w:pgSz w:w="11900" w:h="16840"/>
      <w:pgMar w:top="1440" w:right="1440" w:bottom="1440" w:left="14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53F4A"/>
    <w:rsid w:val="00553F4A"/>
  </w:rsids>
  <m:mathPr>
    <m:mathFont m:val="HelveticaNeueLT-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F4A"/>
    <w:rPr>
      <w:rFonts w:asciiTheme="majorHAnsi" w:hAnsiTheme="majorHAnsi"/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Company>P{ractical Wisdom R2Z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Rochester</dc:creator>
  <cp:keywords/>
  <cp:lastModifiedBy>Colin Rochester</cp:lastModifiedBy>
  <cp:revision>1</cp:revision>
  <dcterms:created xsi:type="dcterms:W3CDTF">2015-12-29T15:52:00Z</dcterms:created>
  <dcterms:modified xsi:type="dcterms:W3CDTF">2015-12-29T15:57:00Z</dcterms:modified>
</cp:coreProperties>
</file>